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623" w:rsidRPr="00643623" w:rsidRDefault="00643623" w:rsidP="00643623">
      <w:pPr>
        <w:spacing w:after="0" w:line="240" w:lineRule="auto"/>
        <w:jc w:val="both"/>
        <w:rPr>
          <w:rFonts w:ascii="Arial" w:hAnsi="Arial" w:cs="Arial"/>
          <w:b/>
        </w:rPr>
      </w:pPr>
      <w:bookmarkStart w:id="0" w:name="_GoBack"/>
      <w:bookmarkEnd w:id="0"/>
      <w:r w:rsidRPr="00643623">
        <w:rPr>
          <w:rFonts w:ascii="Arial" w:hAnsi="Arial" w:cs="Arial"/>
          <w:b/>
        </w:rPr>
        <w:t>SECTION 00300 – AVAILABLE INFORMATION</w:t>
      </w:r>
    </w:p>
    <w:p w:rsidR="00643623" w:rsidRPr="00643623" w:rsidRDefault="00643623" w:rsidP="00643623">
      <w:pPr>
        <w:spacing w:after="0" w:line="240" w:lineRule="auto"/>
        <w:jc w:val="both"/>
        <w:rPr>
          <w:rFonts w:ascii="Arial" w:hAnsi="Arial" w:cs="Arial"/>
          <w:b/>
        </w:rPr>
      </w:pPr>
    </w:p>
    <w:p w:rsidR="00643623" w:rsidRPr="00643623" w:rsidRDefault="00643623" w:rsidP="00643623">
      <w:pPr>
        <w:numPr>
          <w:ilvl w:val="0"/>
          <w:numId w:val="1"/>
        </w:numPr>
        <w:tabs>
          <w:tab w:val="left" w:pos="720"/>
          <w:tab w:val="left" w:pos="900"/>
        </w:tabs>
        <w:spacing w:after="0" w:line="240" w:lineRule="auto"/>
        <w:ind w:left="720" w:right="360" w:hanging="720"/>
        <w:jc w:val="both"/>
        <w:rPr>
          <w:rFonts w:ascii="Arial" w:hAnsi="Arial" w:cs="Arial"/>
        </w:rPr>
      </w:pPr>
      <w:r w:rsidRPr="00643623">
        <w:rPr>
          <w:rFonts w:ascii="Arial" w:hAnsi="Arial" w:cs="Arial"/>
          <w:b/>
        </w:rPr>
        <w:t>Preliminary Schedule:</w:t>
      </w:r>
      <w:r w:rsidRPr="00643623">
        <w:rPr>
          <w:rFonts w:ascii="Arial" w:hAnsi="Arial" w:cs="Arial"/>
        </w:rPr>
        <w:t xml:space="preserve"> A preliminary schedule shall be included in the Construction Documents. It is the Contractor’s responsibility to review the required schedule and incorporate any necessary overtime wages or accelerated material delivery costs into their bid. Failure to do so will not release them from meeting the schedule at the bid amount.</w:t>
      </w:r>
    </w:p>
    <w:p w:rsidR="00643623" w:rsidRPr="00643623" w:rsidRDefault="00643623" w:rsidP="00643623">
      <w:pPr>
        <w:tabs>
          <w:tab w:val="left" w:pos="720"/>
          <w:tab w:val="left" w:pos="900"/>
        </w:tabs>
        <w:spacing w:after="0" w:line="240" w:lineRule="auto"/>
        <w:ind w:left="720" w:right="360"/>
        <w:jc w:val="both"/>
        <w:rPr>
          <w:rFonts w:ascii="Arial" w:hAnsi="Arial" w:cs="Arial"/>
        </w:rPr>
      </w:pPr>
    </w:p>
    <w:p w:rsidR="00643623" w:rsidRPr="00643623" w:rsidRDefault="00643623" w:rsidP="00643623">
      <w:pPr>
        <w:numPr>
          <w:ilvl w:val="1"/>
          <w:numId w:val="1"/>
        </w:numPr>
        <w:tabs>
          <w:tab w:val="left" w:pos="720"/>
          <w:tab w:val="left" w:pos="900"/>
        </w:tabs>
        <w:spacing w:after="0" w:line="240" w:lineRule="auto"/>
        <w:ind w:left="1260" w:right="360" w:hanging="540"/>
        <w:jc w:val="both"/>
        <w:rPr>
          <w:rFonts w:ascii="Arial" w:hAnsi="Arial" w:cs="Arial"/>
        </w:rPr>
      </w:pPr>
      <w:r w:rsidRPr="00643623">
        <w:rPr>
          <w:rFonts w:ascii="Arial" w:hAnsi="Arial" w:cs="Arial"/>
        </w:rPr>
        <w:t>The completed form 00416- Preliminary Schedule is included herein.</w:t>
      </w:r>
    </w:p>
    <w:p w:rsidR="00643623" w:rsidRPr="00643623" w:rsidRDefault="00643623" w:rsidP="00D019B7">
      <w:pPr>
        <w:tabs>
          <w:tab w:val="left" w:pos="720"/>
          <w:tab w:val="left" w:pos="900"/>
        </w:tabs>
        <w:spacing w:after="0" w:line="240" w:lineRule="auto"/>
        <w:ind w:right="360"/>
        <w:jc w:val="both"/>
        <w:rPr>
          <w:rFonts w:ascii="Arial" w:hAnsi="Arial" w:cs="Arial"/>
          <w:b/>
        </w:rPr>
      </w:pPr>
    </w:p>
    <w:p w:rsidR="00643623" w:rsidRPr="00643623" w:rsidRDefault="00643623" w:rsidP="00643623">
      <w:pPr>
        <w:numPr>
          <w:ilvl w:val="0"/>
          <w:numId w:val="1"/>
        </w:numPr>
        <w:tabs>
          <w:tab w:val="left" w:pos="720"/>
          <w:tab w:val="left" w:pos="900"/>
        </w:tabs>
        <w:spacing w:after="0" w:line="240" w:lineRule="auto"/>
        <w:ind w:left="720" w:right="360" w:hanging="720"/>
        <w:jc w:val="both"/>
        <w:rPr>
          <w:rFonts w:ascii="Arial" w:hAnsi="Arial" w:cs="Arial"/>
        </w:rPr>
      </w:pPr>
      <w:r w:rsidRPr="00643623">
        <w:rPr>
          <w:rFonts w:ascii="Arial" w:hAnsi="Arial" w:cs="Arial"/>
          <w:b/>
        </w:rPr>
        <w:t>Existing Conditions:</w:t>
      </w:r>
      <w:r w:rsidRPr="00643623">
        <w:rPr>
          <w:rFonts w:ascii="Arial" w:hAnsi="Arial" w:cs="Arial"/>
        </w:rPr>
        <w:t xml:space="preserve"> The Owner shall provide access to the site. It is the Contractor’s responsibility to familiarize themselves with conditions of the site that may in any manner affect cost, progress or performance of the Work.</w:t>
      </w:r>
    </w:p>
    <w:p w:rsidR="00643623" w:rsidRPr="00643623" w:rsidRDefault="00643623" w:rsidP="00643623">
      <w:pPr>
        <w:spacing w:after="0"/>
        <w:ind w:left="720"/>
        <w:jc w:val="both"/>
        <w:rPr>
          <w:rFonts w:ascii="Arial" w:hAnsi="Arial" w:cs="Arial"/>
        </w:rPr>
      </w:pPr>
    </w:p>
    <w:p w:rsidR="00643623" w:rsidRPr="00643623" w:rsidRDefault="00643623" w:rsidP="00643623">
      <w:pPr>
        <w:numPr>
          <w:ilvl w:val="0"/>
          <w:numId w:val="1"/>
        </w:numPr>
        <w:tabs>
          <w:tab w:val="left" w:pos="720"/>
          <w:tab w:val="left" w:pos="900"/>
        </w:tabs>
        <w:spacing w:after="0" w:line="240" w:lineRule="auto"/>
        <w:ind w:left="720" w:right="360" w:hanging="720"/>
        <w:jc w:val="both"/>
        <w:rPr>
          <w:rFonts w:ascii="Arial" w:hAnsi="Arial" w:cs="Arial"/>
        </w:rPr>
      </w:pPr>
      <w:r w:rsidRPr="00643623">
        <w:rPr>
          <w:rFonts w:ascii="Arial" w:hAnsi="Arial" w:cs="Arial"/>
          <w:b/>
        </w:rPr>
        <w:t xml:space="preserve">Construction Documents: </w:t>
      </w:r>
      <w:r w:rsidRPr="00643623">
        <w:rPr>
          <w:rFonts w:ascii="Arial" w:hAnsi="Arial" w:cs="Arial"/>
        </w:rPr>
        <w:t xml:space="preserve">A full set of Construction Documents shall be made available to each Bidder. </w:t>
      </w:r>
    </w:p>
    <w:p w:rsidR="00643623" w:rsidRPr="00643623" w:rsidRDefault="00643623" w:rsidP="00643623">
      <w:pPr>
        <w:tabs>
          <w:tab w:val="left" w:pos="720"/>
          <w:tab w:val="left" w:pos="900"/>
        </w:tabs>
        <w:spacing w:after="0" w:line="240" w:lineRule="auto"/>
        <w:ind w:right="360"/>
        <w:jc w:val="both"/>
        <w:rPr>
          <w:rFonts w:ascii="Arial" w:hAnsi="Arial" w:cs="Arial"/>
        </w:rPr>
      </w:pPr>
    </w:p>
    <w:p w:rsidR="00643623" w:rsidRPr="00643623" w:rsidRDefault="00643623" w:rsidP="00643623">
      <w:pPr>
        <w:numPr>
          <w:ilvl w:val="0"/>
          <w:numId w:val="1"/>
        </w:numPr>
        <w:tabs>
          <w:tab w:val="left" w:pos="720"/>
          <w:tab w:val="left" w:pos="900"/>
        </w:tabs>
        <w:spacing w:after="0" w:line="240" w:lineRule="auto"/>
        <w:ind w:left="720" w:right="360" w:hanging="720"/>
        <w:jc w:val="both"/>
        <w:rPr>
          <w:rFonts w:ascii="Arial" w:hAnsi="Arial" w:cs="Arial"/>
        </w:rPr>
      </w:pPr>
      <w:r w:rsidRPr="00643623">
        <w:rPr>
          <w:rFonts w:ascii="Arial" w:hAnsi="Arial" w:cs="Arial"/>
          <w:b/>
        </w:rPr>
        <w:t>Environmental Assessment Information:</w:t>
      </w:r>
      <w:r w:rsidRPr="00643623">
        <w:rPr>
          <w:rFonts w:ascii="Arial" w:hAnsi="Arial" w:cs="Arial"/>
        </w:rPr>
        <w:t xml:space="preserve"> When available, the Owner shall provide copies of environmental assessments and/or testing results.</w:t>
      </w:r>
    </w:p>
    <w:p w:rsidR="00643623" w:rsidRPr="00643623" w:rsidRDefault="00643623" w:rsidP="00643623">
      <w:pPr>
        <w:tabs>
          <w:tab w:val="left" w:pos="720"/>
          <w:tab w:val="left" w:pos="900"/>
        </w:tabs>
        <w:spacing w:after="0" w:line="240" w:lineRule="auto"/>
        <w:ind w:left="720" w:right="360"/>
        <w:jc w:val="both"/>
        <w:rPr>
          <w:rFonts w:ascii="Arial" w:hAnsi="Arial" w:cs="Arial"/>
        </w:rPr>
      </w:pPr>
    </w:p>
    <w:p w:rsidR="00643623" w:rsidRDefault="00643623" w:rsidP="00643623">
      <w:pPr>
        <w:numPr>
          <w:ilvl w:val="0"/>
          <w:numId w:val="1"/>
        </w:numPr>
        <w:tabs>
          <w:tab w:val="left" w:pos="720"/>
          <w:tab w:val="left" w:pos="900"/>
        </w:tabs>
        <w:spacing w:after="0" w:line="240" w:lineRule="auto"/>
        <w:ind w:left="720" w:right="360" w:hanging="720"/>
        <w:jc w:val="both"/>
        <w:rPr>
          <w:rFonts w:ascii="Arial" w:hAnsi="Arial" w:cs="Arial"/>
        </w:rPr>
      </w:pPr>
      <w:bookmarkStart w:id="1" w:name="_Hlk522373063"/>
      <w:bookmarkStart w:id="2" w:name="_Hlk522372860"/>
      <w:bookmarkStart w:id="3" w:name="_Hlk522373542"/>
      <w:r w:rsidRPr="00643623">
        <w:rPr>
          <w:rFonts w:ascii="Arial" w:hAnsi="Arial" w:cs="Arial"/>
          <w:b/>
        </w:rPr>
        <w:t>Existing Hazardous Materials:</w:t>
      </w:r>
      <w:r w:rsidRPr="00643623">
        <w:rPr>
          <w:rFonts w:ascii="Arial" w:hAnsi="Arial" w:cs="Arial"/>
        </w:rPr>
        <w:t xml:space="preserve"> </w:t>
      </w:r>
      <w:r w:rsidR="00F5670D">
        <w:rPr>
          <w:rFonts w:ascii="Arial" w:hAnsi="Arial" w:cs="Arial"/>
        </w:rPr>
        <w:t>If known, t</w:t>
      </w:r>
      <w:r w:rsidRPr="00643623">
        <w:rPr>
          <w:rFonts w:ascii="Arial" w:hAnsi="Arial" w:cs="Arial"/>
        </w:rPr>
        <w:t>he Owner shall notify the Contractor if there are any Existing Hazardous Materials within the Work site.</w:t>
      </w:r>
      <w:r w:rsidR="00722ADE">
        <w:rPr>
          <w:rFonts w:ascii="Arial" w:hAnsi="Arial" w:cs="Arial"/>
        </w:rPr>
        <w:t xml:space="preserve"> It is the Contractor’s responsibility to assure hazardous materials testing has been completed prior to the start of work.</w:t>
      </w:r>
      <w:bookmarkEnd w:id="1"/>
    </w:p>
    <w:p w:rsidR="00F5670D" w:rsidRDefault="00F5670D" w:rsidP="00F5670D">
      <w:pPr>
        <w:pStyle w:val="ListParagraph"/>
        <w:spacing w:after="0" w:line="240" w:lineRule="auto"/>
        <w:rPr>
          <w:rFonts w:ascii="Arial" w:hAnsi="Arial" w:cs="Arial"/>
        </w:rPr>
      </w:pPr>
    </w:p>
    <w:p w:rsidR="00722ADE" w:rsidRDefault="00813724" w:rsidP="00F5670D">
      <w:pPr>
        <w:numPr>
          <w:ilvl w:val="1"/>
          <w:numId w:val="1"/>
        </w:numPr>
        <w:spacing w:after="0" w:line="240" w:lineRule="auto"/>
        <w:ind w:left="1440" w:right="360" w:hanging="720"/>
        <w:jc w:val="both"/>
        <w:rPr>
          <w:rFonts w:ascii="Arial" w:hAnsi="Arial" w:cs="Arial"/>
        </w:rPr>
      </w:pPr>
      <w:r>
        <w:rPr>
          <w:rFonts w:ascii="Arial" w:hAnsi="Arial" w:cs="Arial"/>
        </w:rPr>
        <w:t xml:space="preserve">Before any work in existing facilities shall be conducted </w:t>
      </w:r>
      <w:r w:rsidRPr="0076178F">
        <w:rPr>
          <w:rFonts w:ascii="Arial" w:hAnsi="Arial" w:cs="Arial"/>
        </w:rPr>
        <w:t xml:space="preserve">an evaluation shall be made and testing preformed to determine if </w:t>
      </w:r>
      <w:r>
        <w:rPr>
          <w:rFonts w:ascii="Arial" w:hAnsi="Arial" w:cs="Arial"/>
        </w:rPr>
        <w:t>Asbestos</w:t>
      </w:r>
      <w:r w:rsidRPr="0076178F">
        <w:rPr>
          <w:rFonts w:ascii="Arial" w:hAnsi="Arial" w:cs="Arial"/>
        </w:rPr>
        <w:t xml:space="preserve"> is present and safely encapsulated or if remediation is needed.</w:t>
      </w:r>
      <w:r>
        <w:rPr>
          <w:rFonts w:ascii="Arial" w:hAnsi="Arial" w:cs="Arial"/>
        </w:rPr>
        <w:t xml:space="preserve"> This shall be done by a qualified contractor meeting FS 469.</w:t>
      </w:r>
    </w:p>
    <w:p w:rsidR="00722ADE" w:rsidRDefault="00722ADE" w:rsidP="00722ADE">
      <w:pPr>
        <w:spacing w:after="0" w:line="240" w:lineRule="auto"/>
        <w:ind w:left="1440" w:right="360"/>
        <w:jc w:val="both"/>
        <w:rPr>
          <w:rFonts w:ascii="Arial" w:hAnsi="Arial" w:cs="Arial"/>
        </w:rPr>
      </w:pPr>
    </w:p>
    <w:p w:rsidR="00AF1902" w:rsidRDefault="00F5670D" w:rsidP="00AF1902">
      <w:pPr>
        <w:numPr>
          <w:ilvl w:val="1"/>
          <w:numId w:val="1"/>
        </w:numPr>
        <w:spacing w:after="0" w:line="240" w:lineRule="auto"/>
        <w:ind w:left="1440" w:right="360" w:hanging="720"/>
        <w:jc w:val="both"/>
        <w:rPr>
          <w:rFonts w:ascii="Arial" w:hAnsi="Arial" w:cs="Arial"/>
        </w:rPr>
      </w:pPr>
      <w:bookmarkStart w:id="4" w:name="_Hlk522373144"/>
      <w:r w:rsidRPr="0076178F">
        <w:rPr>
          <w:rFonts w:ascii="Arial" w:hAnsi="Arial" w:cs="Arial"/>
        </w:rPr>
        <w:t>In facilities constructed before 1978 an evaluation shall be made and testing preformed to determine if lead paint is present and safely encapsulated or if remediation is needed. This shall be done by a contractor trained and certified in the EPA’s Renovation, Repair and Painting Rule (RRP)</w:t>
      </w:r>
      <w:r>
        <w:rPr>
          <w:rFonts w:ascii="Arial" w:hAnsi="Arial" w:cs="Arial"/>
        </w:rPr>
        <w:t xml:space="preserve"> 2010.</w:t>
      </w:r>
      <w:bookmarkEnd w:id="2"/>
      <w:bookmarkEnd w:id="4"/>
    </w:p>
    <w:p w:rsidR="00AF1902" w:rsidRPr="00AF1902" w:rsidRDefault="00AF1902" w:rsidP="00AF1902">
      <w:pPr>
        <w:spacing w:after="0" w:line="240" w:lineRule="auto"/>
        <w:ind w:right="360"/>
        <w:jc w:val="both"/>
        <w:rPr>
          <w:rFonts w:ascii="Arial" w:hAnsi="Arial" w:cs="Arial"/>
        </w:rPr>
      </w:pPr>
    </w:p>
    <w:p w:rsidR="00AF1902" w:rsidRPr="00245915" w:rsidRDefault="00AF1902" w:rsidP="00245915">
      <w:pPr>
        <w:numPr>
          <w:ilvl w:val="1"/>
          <w:numId w:val="1"/>
        </w:numPr>
        <w:spacing w:after="0" w:line="240" w:lineRule="auto"/>
        <w:ind w:left="1440" w:right="360" w:hanging="720"/>
        <w:jc w:val="both"/>
        <w:rPr>
          <w:rFonts w:ascii="Arial" w:hAnsi="Arial" w:cs="Arial"/>
        </w:rPr>
      </w:pPr>
      <w:r>
        <w:rPr>
          <w:rFonts w:ascii="Arial" w:hAnsi="Arial" w:cs="Arial"/>
        </w:rPr>
        <w:t>ppp</w:t>
      </w:r>
      <w:bookmarkEnd w:id="3"/>
    </w:p>
    <w:p w:rsidR="00643623" w:rsidRPr="00643623" w:rsidRDefault="00643623" w:rsidP="00643623">
      <w:pPr>
        <w:spacing w:after="0"/>
        <w:ind w:left="720"/>
        <w:jc w:val="both"/>
        <w:rPr>
          <w:rFonts w:ascii="Arial" w:hAnsi="Arial" w:cs="Arial"/>
        </w:rPr>
      </w:pPr>
    </w:p>
    <w:p w:rsidR="00643623" w:rsidRPr="00643623" w:rsidRDefault="00643623" w:rsidP="00643623">
      <w:pPr>
        <w:numPr>
          <w:ilvl w:val="0"/>
          <w:numId w:val="1"/>
        </w:numPr>
        <w:tabs>
          <w:tab w:val="left" w:pos="720"/>
          <w:tab w:val="left" w:pos="900"/>
        </w:tabs>
        <w:spacing w:after="0" w:line="240" w:lineRule="auto"/>
        <w:ind w:left="720" w:right="360" w:hanging="720"/>
        <w:jc w:val="both"/>
        <w:rPr>
          <w:rFonts w:ascii="Arial" w:hAnsi="Arial" w:cs="Arial"/>
        </w:rPr>
      </w:pPr>
      <w:r w:rsidRPr="00643623">
        <w:rPr>
          <w:rFonts w:ascii="Arial" w:hAnsi="Arial" w:cs="Arial"/>
          <w:b/>
        </w:rPr>
        <w:lastRenderedPageBreak/>
        <w:t xml:space="preserve">Geotechnical Data: </w:t>
      </w:r>
      <w:r w:rsidRPr="00643623">
        <w:rPr>
          <w:rFonts w:ascii="Arial" w:hAnsi="Arial" w:cs="Arial"/>
        </w:rPr>
        <w:t xml:space="preserve">Any reports of investigations and tests of subsurface and latent physical conditions at the site or otherwise affecting cost, progress or performance of the Work which have been relied upon by Engineer in preparing the Drawings and Specifications. Owner will make copies of such reports available to any Bidder requesting them. </w:t>
      </w:r>
    </w:p>
    <w:p w:rsidR="00643623" w:rsidRPr="00643623" w:rsidRDefault="00643623" w:rsidP="00643623">
      <w:pPr>
        <w:spacing w:after="0"/>
        <w:ind w:left="720"/>
        <w:jc w:val="both"/>
        <w:rPr>
          <w:rFonts w:ascii="Arial" w:hAnsi="Arial" w:cs="Arial"/>
        </w:rPr>
      </w:pPr>
    </w:p>
    <w:p w:rsidR="00643623" w:rsidRPr="00643623" w:rsidRDefault="00643623" w:rsidP="00643623">
      <w:pPr>
        <w:numPr>
          <w:ilvl w:val="1"/>
          <w:numId w:val="1"/>
        </w:numPr>
        <w:tabs>
          <w:tab w:val="left" w:pos="720"/>
          <w:tab w:val="left" w:pos="900"/>
        </w:tabs>
        <w:spacing w:after="0" w:line="240" w:lineRule="auto"/>
        <w:ind w:left="1440" w:right="360" w:hanging="720"/>
        <w:jc w:val="both"/>
        <w:rPr>
          <w:rFonts w:ascii="Arial" w:hAnsi="Arial" w:cs="Arial"/>
        </w:rPr>
      </w:pPr>
      <w:r w:rsidRPr="00643623">
        <w:rPr>
          <w:rFonts w:ascii="Arial" w:hAnsi="Arial" w:cs="Arial"/>
        </w:rPr>
        <w:t>These reports are not guaranteed as to accuracy or completeness, nor are they part of the Contract Documents.</w:t>
      </w:r>
    </w:p>
    <w:p w:rsidR="00643623" w:rsidRPr="00643623" w:rsidRDefault="00643623" w:rsidP="00643623">
      <w:pPr>
        <w:tabs>
          <w:tab w:val="left" w:pos="720"/>
          <w:tab w:val="left" w:pos="900"/>
        </w:tabs>
        <w:spacing w:after="0" w:line="240" w:lineRule="auto"/>
        <w:ind w:left="1440" w:right="360"/>
        <w:jc w:val="both"/>
        <w:rPr>
          <w:rFonts w:ascii="Arial" w:hAnsi="Arial" w:cs="Arial"/>
        </w:rPr>
      </w:pPr>
    </w:p>
    <w:p w:rsidR="00643623" w:rsidRPr="00643623" w:rsidRDefault="00643623" w:rsidP="00643623">
      <w:pPr>
        <w:numPr>
          <w:ilvl w:val="1"/>
          <w:numId w:val="1"/>
        </w:numPr>
        <w:tabs>
          <w:tab w:val="left" w:pos="720"/>
          <w:tab w:val="left" w:pos="1440"/>
        </w:tabs>
        <w:spacing w:after="0" w:line="240" w:lineRule="auto"/>
        <w:ind w:left="1440" w:right="360" w:hanging="720"/>
        <w:jc w:val="both"/>
        <w:rPr>
          <w:rFonts w:ascii="Arial" w:hAnsi="Arial" w:cs="Arial"/>
        </w:rPr>
      </w:pPr>
      <w:r w:rsidRPr="00643623">
        <w:rPr>
          <w:rFonts w:ascii="Arial" w:hAnsi="Arial" w:cs="Arial"/>
        </w:rPr>
        <w:t>The report may be reasonably relied on by Bidders but do not represent a warrant or guarantee of subsurface conditions by either the Owner or the Project Consultant.</w:t>
      </w:r>
    </w:p>
    <w:p w:rsidR="00643623" w:rsidRPr="00643623" w:rsidRDefault="00643623" w:rsidP="00643623">
      <w:pPr>
        <w:tabs>
          <w:tab w:val="left" w:pos="720"/>
          <w:tab w:val="left" w:pos="900"/>
        </w:tabs>
        <w:spacing w:after="0" w:line="240" w:lineRule="auto"/>
        <w:ind w:left="1440" w:right="360"/>
        <w:jc w:val="both"/>
        <w:rPr>
          <w:rFonts w:ascii="Arial" w:hAnsi="Arial" w:cs="Arial"/>
        </w:rPr>
      </w:pPr>
    </w:p>
    <w:p w:rsidR="00643623" w:rsidRPr="00643623" w:rsidRDefault="00643623" w:rsidP="00643623">
      <w:pPr>
        <w:numPr>
          <w:ilvl w:val="0"/>
          <w:numId w:val="1"/>
        </w:numPr>
        <w:tabs>
          <w:tab w:val="left" w:pos="720"/>
          <w:tab w:val="left" w:pos="900"/>
        </w:tabs>
        <w:spacing w:after="0" w:line="240" w:lineRule="auto"/>
        <w:ind w:left="720" w:right="360" w:hanging="720"/>
        <w:jc w:val="both"/>
        <w:rPr>
          <w:rFonts w:ascii="Arial" w:hAnsi="Arial" w:cs="Arial"/>
        </w:rPr>
      </w:pPr>
      <w:r w:rsidRPr="00643623">
        <w:rPr>
          <w:rFonts w:ascii="Arial" w:hAnsi="Arial" w:cs="Arial"/>
          <w:b/>
        </w:rPr>
        <w:t>As-Built Drawings:</w:t>
      </w:r>
      <w:r w:rsidRPr="00643623">
        <w:rPr>
          <w:rFonts w:ascii="Arial" w:hAnsi="Arial" w:cs="Arial"/>
        </w:rPr>
        <w:t xml:space="preserve"> Various “as-built” drawings and specifications from the construction of the original facility or subsequent projects on the project site may be available at the Office of Facilities, Planning &amp; Construction.</w:t>
      </w:r>
    </w:p>
    <w:p w:rsidR="00643623" w:rsidRPr="00643623" w:rsidRDefault="00643623" w:rsidP="00643623">
      <w:pPr>
        <w:tabs>
          <w:tab w:val="left" w:pos="720"/>
          <w:tab w:val="left" w:pos="900"/>
        </w:tabs>
        <w:spacing w:after="0" w:line="240" w:lineRule="auto"/>
        <w:ind w:left="720" w:right="360"/>
        <w:jc w:val="both"/>
        <w:rPr>
          <w:rFonts w:ascii="Arial" w:hAnsi="Arial" w:cs="Arial"/>
        </w:rPr>
      </w:pPr>
    </w:p>
    <w:p w:rsidR="00643623" w:rsidRPr="00643623" w:rsidRDefault="00643623" w:rsidP="00643623">
      <w:pPr>
        <w:numPr>
          <w:ilvl w:val="0"/>
          <w:numId w:val="2"/>
        </w:numPr>
        <w:tabs>
          <w:tab w:val="left" w:pos="1980"/>
        </w:tabs>
        <w:spacing w:after="0" w:line="240" w:lineRule="auto"/>
        <w:ind w:left="1440" w:right="360" w:hanging="720"/>
        <w:jc w:val="both"/>
        <w:rPr>
          <w:rFonts w:ascii="Arial" w:hAnsi="Arial" w:cs="Arial"/>
        </w:rPr>
      </w:pPr>
      <w:r w:rsidRPr="00643623">
        <w:rPr>
          <w:rFonts w:ascii="Arial" w:hAnsi="Arial" w:cs="Arial"/>
        </w:rPr>
        <w:t>The “as-built” drawings and specifications may be reasonably relied on by Bidders but do not represent a warrant or guarantee of existing conditions by either the Owner or the Architect.</w:t>
      </w:r>
    </w:p>
    <w:p w:rsidR="00643623" w:rsidRPr="00643623" w:rsidRDefault="00643623" w:rsidP="00643623">
      <w:pPr>
        <w:tabs>
          <w:tab w:val="left" w:pos="1980"/>
        </w:tabs>
        <w:spacing w:after="0" w:line="240" w:lineRule="auto"/>
        <w:ind w:right="360"/>
        <w:jc w:val="both"/>
        <w:rPr>
          <w:rFonts w:ascii="Arial" w:hAnsi="Arial" w:cs="Arial"/>
        </w:rPr>
      </w:pPr>
    </w:p>
    <w:p w:rsidR="008660AE" w:rsidRPr="00643623" w:rsidRDefault="00643623" w:rsidP="00643623">
      <w:pPr>
        <w:jc w:val="both"/>
        <w:rPr>
          <w:rFonts w:ascii="Arial" w:hAnsi="Arial" w:cs="Arial"/>
        </w:rPr>
      </w:pPr>
      <w:r w:rsidRPr="00643623">
        <w:rPr>
          <w:rFonts w:ascii="Arial" w:hAnsi="Arial" w:cs="Arial"/>
        </w:rPr>
        <w:t>END OF SECTION 00300</w:t>
      </w:r>
    </w:p>
    <w:sectPr w:rsidR="008660AE" w:rsidRPr="00643623" w:rsidSect="00643623">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870057"/>
    <w:multiLevelType w:val="hybridMultilevel"/>
    <w:tmpl w:val="480EB428"/>
    <w:lvl w:ilvl="0" w:tplc="FFAAD94E">
      <w:start w:val="1"/>
      <w:numFmt w:val="upperLetter"/>
      <w:lvlText w:val="%1."/>
      <w:lvlJc w:val="left"/>
      <w:pPr>
        <w:ind w:left="2160" w:hanging="360"/>
      </w:pPr>
      <w:rPr>
        <w:rFonts w:ascii="Times New Roman" w:eastAsia="Times New Roman" w:hAnsi="Times New Roman" w:hint="default"/>
        <w:spacing w:val="-2"/>
        <w:w w:val="99"/>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773D266B"/>
    <w:multiLevelType w:val="hybridMultilevel"/>
    <w:tmpl w:val="01D6B072"/>
    <w:lvl w:ilvl="0" w:tplc="D0E2E832">
      <w:start w:val="1"/>
      <w:numFmt w:val="decimal"/>
      <w:lvlText w:val="1.%1"/>
      <w:lvlJc w:val="left"/>
      <w:pPr>
        <w:ind w:left="1710" w:hanging="360"/>
      </w:pPr>
      <w:rPr>
        <w:rFonts w:hint="default"/>
        <w:b w:val="0"/>
      </w:rPr>
    </w:lvl>
    <w:lvl w:ilvl="1" w:tplc="2ECA4E68">
      <w:start w:val="1"/>
      <w:numFmt w:val="upperLetter"/>
      <w:lvlText w:val="%2."/>
      <w:lvlJc w:val="left"/>
      <w:pPr>
        <w:ind w:left="2430" w:hanging="360"/>
      </w:pPr>
      <w:rPr>
        <w:rFonts w:ascii="Times New Roman" w:eastAsia="Times New Roman" w:hAnsi="Times New Roman" w:hint="default"/>
        <w:b w:val="0"/>
        <w:spacing w:val="-2"/>
        <w:w w:val="99"/>
        <w:sz w:val="22"/>
        <w:szCs w:val="22"/>
      </w:rPr>
    </w:lvl>
    <w:lvl w:ilvl="2" w:tplc="0409000F">
      <w:start w:val="1"/>
      <w:numFmt w:val="decimal"/>
      <w:lvlText w:val="%3."/>
      <w:lvlJc w:val="lef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623"/>
    <w:rsid w:val="000C5C2A"/>
    <w:rsid w:val="000D7654"/>
    <w:rsid w:val="000E16FA"/>
    <w:rsid w:val="000E416D"/>
    <w:rsid w:val="00121EA1"/>
    <w:rsid w:val="00245915"/>
    <w:rsid w:val="00643623"/>
    <w:rsid w:val="00722ADE"/>
    <w:rsid w:val="00813724"/>
    <w:rsid w:val="00AF1902"/>
    <w:rsid w:val="00D019B7"/>
    <w:rsid w:val="00DB153B"/>
    <w:rsid w:val="00F56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7EDEC-B25F-4783-8A8B-66863EC45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Hunter</dc:creator>
  <cp:keywords/>
  <dc:description/>
  <cp:lastModifiedBy>William Hunter</cp:lastModifiedBy>
  <cp:revision>4</cp:revision>
  <dcterms:created xsi:type="dcterms:W3CDTF">2018-08-20T11:06:00Z</dcterms:created>
  <dcterms:modified xsi:type="dcterms:W3CDTF">2018-08-20T17:17:00Z</dcterms:modified>
</cp:coreProperties>
</file>