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500"/>
        <w:gridCol w:w="2160"/>
        <w:gridCol w:w="1525"/>
      </w:tblGrid>
      <w:tr w:rsidR="00D7266A" w:rsidTr="0031312A">
        <w:tc>
          <w:tcPr>
            <w:tcW w:w="1165" w:type="dxa"/>
            <w:vAlign w:val="center"/>
          </w:tcPr>
          <w:p w:rsidR="00942225" w:rsidRDefault="00942225" w:rsidP="008804E1">
            <w:pPr>
              <w:rPr>
                <w:rFonts w:ascii="Arial" w:hAnsi="Arial" w:cs="Arial"/>
              </w:rPr>
            </w:pPr>
            <w:bookmarkStart w:id="0" w:name="_GoBack"/>
            <w:bookmarkEnd w:id="0"/>
            <w:r w:rsidRPr="00942225">
              <w:rPr>
                <w:rFonts w:ascii="Arial" w:hAnsi="Arial" w:cs="Arial"/>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-118745</wp:posOffset>
                  </wp:positionV>
                  <wp:extent cx="838200" cy="947420"/>
                  <wp:effectExtent l="0" t="0" r="0" b="5080"/>
                  <wp:wrapNone/>
                  <wp:docPr id="1" name="Picture 1" descr="C:\Users\wbhun\Pictures\GCPS Logo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hun\Pictures\GCPS Logo Se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0" w:type="dxa"/>
            <w:vAlign w:val="center"/>
          </w:tcPr>
          <w:p w:rsidR="00942225" w:rsidRPr="00245C4E" w:rsidRDefault="00245C4E" w:rsidP="008804E1">
            <w:pPr>
              <w:rPr>
                <w:rFonts w:ascii="Arial" w:hAnsi="Arial" w:cs="Arial"/>
                <w:b/>
                <w:sz w:val="26"/>
                <w:szCs w:val="26"/>
              </w:rPr>
            </w:pPr>
            <w:r>
              <w:rPr>
                <w:rFonts w:ascii="Arial" w:hAnsi="Arial" w:cs="Arial"/>
                <w:b/>
              </w:rPr>
              <w:t xml:space="preserve">   </w:t>
            </w:r>
            <w:r w:rsidRPr="00245C4E">
              <w:rPr>
                <w:rFonts w:ascii="Arial" w:hAnsi="Arial" w:cs="Arial"/>
                <w:b/>
                <w:sz w:val="26"/>
                <w:szCs w:val="26"/>
              </w:rPr>
              <w:t xml:space="preserve">Supplemental Attachment No. 1 </w:t>
            </w:r>
          </w:p>
        </w:tc>
        <w:tc>
          <w:tcPr>
            <w:tcW w:w="2160" w:type="dxa"/>
            <w:tcBorders>
              <w:right w:val="single" w:sz="4" w:space="0" w:color="auto"/>
            </w:tcBorders>
            <w:vAlign w:val="center"/>
          </w:tcPr>
          <w:p w:rsidR="00942225" w:rsidRPr="00D7266A" w:rsidRDefault="00942225" w:rsidP="008804E1">
            <w:pPr>
              <w:jc w:val="right"/>
              <w:rPr>
                <w:rFonts w:ascii="Georgia" w:hAnsi="Georgia" w:cs="Arial"/>
                <w:sz w:val="96"/>
                <w:szCs w:val="96"/>
              </w:rPr>
            </w:pPr>
            <w:r w:rsidRPr="00D7266A">
              <w:rPr>
                <w:rFonts w:ascii="Georgia" w:hAnsi="Georgia" w:cs="Arial"/>
                <w:sz w:val="96"/>
                <w:szCs w:val="96"/>
              </w:rPr>
              <w:t>GCS</w:t>
            </w:r>
          </w:p>
        </w:tc>
        <w:tc>
          <w:tcPr>
            <w:tcW w:w="1525" w:type="dxa"/>
            <w:tcBorders>
              <w:left w:val="single" w:sz="4" w:space="0" w:color="auto"/>
            </w:tcBorders>
            <w:vAlign w:val="center"/>
          </w:tcPr>
          <w:p w:rsidR="00942225" w:rsidRDefault="00942225" w:rsidP="008804E1">
            <w:pPr>
              <w:rPr>
                <w:rFonts w:ascii="Arial" w:hAnsi="Arial" w:cs="Arial"/>
              </w:rPr>
            </w:pPr>
            <w:r>
              <w:rPr>
                <w:rFonts w:ascii="Arial" w:hAnsi="Arial" w:cs="Arial"/>
              </w:rPr>
              <w:t>GADSDEN</w:t>
            </w:r>
          </w:p>
          <w:p w:rsidR="00942225" w:rsidRDefault="00942225" w:rsidP="008804E1">
            <w:pPr>
              <w:rPr>
                <w:rFonts w:ascii="Arial" w:hAnsi="Arial" w:cs="Arial"/>
              </w:rPr>
            </w:pPr>
            <w:r>
              <w:rPr>
                <w:rFonts w:ascii="Arial" w:hAnsi="Arial" w:cs="Arial"/>
              </w:rPr>
              <w:t>COUNTY</w:t>
            </w:r>
          </w:p>
          <w:p w:rsidR="00942225" w:rsidRDefault="00942225" w:rsidP="008804E1">
            <w:pPr>
              <w:rPr>
                <w:rFonts w:ascii="Arial" w:hAnsi="Arial" w:cs="Arial"/>
              </w:rPr>
            </w:pPr>
            <w:r>
              <w:rPr>
                <w:rFonts w:ascii="Arial" w:hAnsi="Arial" w:cs="Arial"/>
              </w:rPr>
              <w:t>SCHOOLS</w:t>
            </w:r>
          </w:p>
        </w:tc>
      </w:tr>
    </w:tbl>
    <w:p w:rsidR="008660AE" w:rsidRDefault="00BC16DC" w:rsidP="008804E1">
      <w:pPr>
        <w:pBdr>
          <w:bottom w:val="single" w:sz="12" w:space="0" w:color="auto"/>
        </w:pBdr>
        <w:spacing w:after="0" w:line="240" w:lineRule="auto"/>
        <w:rPr>
          <w:rFonts w:ascii="Arial" w:hAnsi="Arial" w:cs="Arial"/>
        </w:rPr>
      </w:pPr>
    </w:p>
    <w:p w:rsidR="00BC2CED" w:rsidRDefault="00BC2CED" w:rsidP="008804E1">
      <w:pPr>
        <w:spacing w:after="0" w:line="240" w:lineRule="auto"/>
        <w:jc w:val="center"/>
        <w:rPr>
          <w:rFonts w:ascii="Arial" w:hAnsi="Arial" w:cs="Arial"/>
          <w:b/>
        </w:rPr>
      </w:pPr>
    </w:p>
    <w:p w:rsidR="00BC2CED" w:rsidRPr="00B0655E" w:rsidRDefault="00B0655E" w:rsidP="00B0655E">
      <w:pPr>
        <w:spacing w:after="0" w:line="240" w:lineRule="auto"/>
        <w:rPr>
          <w:rFonts w:ascii="Arial" w:hAnsi="Arial" w:cs="Arial"/>
          <w:b/>
        </w:rPr>
      </w:pPr>
      <w:r w:rsidRPr="00B0655E">
        <w:rPr>
          <w:rFonts w:ascii="Arial" w:hAnsi="Arial" w:cs="Arial"/>
          <w:b/>
        </w:rPr>
        <w:t>PROCEDURE IMPLEMENTING BOARD POLICY 6330</w:t>
      </w:r>
    </w:p>
    <w:p w:rsidR="00D3449F" w:rsidRPr="00B0655E" w:rsidRDefault="00D3449F" w:rsidP="00D3449F">
      <w:pPr>
        <w:spacing w:after="0" w:line="240" w:lineRule="auto"/>
        <w:jc w:val="both"/>
        <w:rPr>
          <w:rFonts w:ascii="Arial" w:hAnsi="Arial" w:cs="Arial"/>
        </w:rPr>
      </w:pPr>
      <w:r w:rsidRPr="00B0655E">
        <w:rPr>
          <w:rFonts w:ascii="Arial" w:hAnsi="Arial" w:cs="Arial"/>
        </w:rPr>
        <w:t>STANDARD INSURANCE REQUIREME</w:t>
      </w:r>
      <w:r w:rsidR="004F72C1" w:rsidRPr="00B0655E">
        <w:rPr>
          <w:rFonts w:ascii="Arial" w:hAnsi="Arial" w:cs="Arial"/>
        </w:rPr>
        <w:t xml:space="preserve">NTS FOR DESIGN PROFESSIONALS </w:t>
      </w:r>
      <w:r w:rsidRPr="00B0655E">
        <w:rPr>
          <w:rFonts w:ascii="Arial" w:hAnsi="Arial" w:cs="Arial"/>
        </w:rPr>
        <w:t>WORKING ON DISTRICT CONSTRUCTION PROJECTS.</w:t>
      </w:r>
    </w:p>
    <w:p w:rsidR="00D3449F" w:rsidRPr="00B0655E" w:rsidRDefault="00D3449F" w:rsidP="00D3449F">
      <w:pPr>
        <w:spacing w:after="0" w:line="240" w:lineRule="auto"/>
        <w:jc w:val="both"/>
        <w:rPr>
          <w:rFonts w:ascii="Arial" w:hAnsi="Arial" w:cs="Arial"/>
        </w:rPr>
      </w:pPr>
    </w:p>
    <w:p w:rsidR="00D3449F" w:rsidRPr="00B0655E" w:rsidRDefault="004F72C1" w:rsidP="00D3449F">
      <w:pPr>
        <w:spacing w:after="0" w:line="240" w:lineRule="auto"/>
        <w:jc w:val="both"/>
        <w:rPr>
          <w:rFonts w:ascii="Arial" w:hAnsi="Arial" w:cs="Arial"/>
          <w:b/>
        </w:rPr>
      </w:pPr>
      <w:r w:rsidRPr="00B0655E">
        <w:rPr>
          <w:rFonts w:ascii="Arial" w:hAnsi="Arial" w:cs="Arial"/>
          <w:b/>
        </w:rPr>
        <w:t>PART</w:t>
      </w:r>
      <w:r w:rsidR="00D3449F" w:rsidRPr="00B0655E">
        <w:rPr>
          <w:rFonts w:ascii="Arial" w:hAnsi="Arial" w:cs="Arial"/>
          <w:b/>
        </w:rPr>
        <w:t xml:space="preserve"> 1 – SUMMARY</w:t>
      </w:r>
    </w:p>
    <w:p w:rsidR="00D3449F" w:rsidRPr="00B0655E" w:rsidRDefault="00D3449F" w:rsidP="00D3449F">
      <w:pPr>
        <w:spacing w:after="0" w:line="240" w:lineRule="auto"/>
        <w:jc w:val="both"/>
        <w:rPr>
          <w:rFonts w:ascii="Arial" w:hAnsi="Arial" w:cs="Arial"/>
          <w:b/>
          <w:sz w:val="21"/>
          <w:szCs w:val="21"/>
        </w:rPr>
      </w:pPr>
    </w:p>
    <w:p w:rsidR="00D3449F" w:rsidRPr="00B0655E" w:rsidRDefault="00D3449F" w:rsidP="00D3449F">
      <w:pPr>
        <w:pStyle w:val="ListParagraph"/>
        <w:numPr>
          <w:ilvl w:val="1"/>
          <w:numId w:val="1"/>
        </w:numPr>
        <w:spacing w:after="0" w:line="240" w:lineRule="auto"/>
        <w:ind w:left="720" w:hanging="720"/>
        <w:contextualSpacing w:val="0"/>
        <w:jc w:val="both"/>
        <w:rPr>
          <w:rFonts w:ascii="Arial" w:hAnsi="Arial" w:cs="Arial"/>
          <w:sz w:val="21"/>
          <w:szCs w:val="21"/>
        </w:rPr>
      </w:pPr>
      <w:r w:rsidRPr="00B0655E">
        <w:rPr>
          <w:rFonts w:ascii="Arial" w:hAnsi="Arial" w:cs="Arial"/>
          <w:sz w:val="21"/>
          <w:szCs w:val="21"/>
        </w:rPr>
        <w:t>The Architect/Engineer shall be required to procure and maintain throughout the Project the following insurance policies on the terms outlined below with a Florida Licensed insurer acceptable to the Owner.</w:t>
      </w:r>
    </w:p>
    <w:p w:rsidR="00D3449F" w:rsidRPr="00B0655E" w:rsidRDefault="00D3449F" w:rsidP="00D3449F">
      <w:pPr>
        <w:pStyle w:val="ListParagraph"/>
        <w:spacing w:after="0" w:line="240" w:lineRule="auto"/>
        <w:contextualSpacing w:val="0"/>
        <w:jc w:val="both"/>
        <w:rPr>
          <w:rFonts w:ascii="Arial" w:hAnsi="Arial" w:cs="Arial"/>
          <w:sz w:val="21"/>
          <w:szCs w:val="21"/>
        </w:rPr>
      </w:pPr>
    </w:p>
    <w:p w:rsidR="00B0655E" w:rsidRPr="00B0655E" w:rsidRDefault="00B0655E" w:rsidP="00D3449F">
      <w:pPr>
        <w:pStyle w:val="ListParagraph"/>
        <w:numPr>
          <w:ilvl w:val="0"/>
          <w:numId w:val="1"/>
        </w:numPr>
        <w:spacing w:after="0" w:line="240" w:lineRule="auto"/>
        <w:ind w:hanging="720"/>
        <w:jc w:val="both"/>
        <w:rPr>
          <w:rFonts w:ascii="Arial" w:hAnsi="Arial" w:cs="Arial"/>
          <w:b/>
          <w:sz w:val="21"/>
          <w:szCs w:val="21"/>
        </w:rPr>
      </w:pPr>
      <w:r w:rsidRPr="00B0655E">
        <w:rPr>
          <w:rFonts w:ascii="Arial" w:hAnsi="Arial" w:cs="Arial"/>
          <w:color w:val="000000"/>
          <w:sz w:val="21"/>
          <w:szCs w:val="21"/>
        </w:rPr>
        <w:t>Prior to the start of each project, the Insurance requirements shall be reviewed and adjusted as required to fit specific project needs and stay current with laws and standards.</w:t>
      </w:r>
    </w:p>
    <w:p w:rsidR="00B0655E" w:rsidRPr="00B0655E" w:rsidRDefault="00B0655E" w:rsidP="00B0655E">
      <w:pPr>
        <w:pStyle w:val="ListParagraph"/>
        <w:spacing w:after="0" w:line="240" w:lineRule="auto"/>
        <w:jc w:val="both"/>
        <w:rPr>
          <w:rFonts w:ascii="Arial" w:hAnsi="Arial" w:cs="Arial"/>
          <w:b/>
          <w:sz w:val="21"/>
          <w:szCs w:val="21"/>
        </w:rPr>
      </w:pPr>
    </w:p>
    <w:p w:rsidR="00D3449F" w:rsidRPr="00B0655E" w:rsidRDefault="00D3449F" w:rsidP="00D3449F">
      <w:pPr>
        <w:pStyle w:val="ListParagraph"/>
        <w:numPr>
          <w:ilvl w:val="0"/>
          <w:numId w:val="1"/>
        </w:numPr>
        <w:spacing w:after="0" w:line="240" w:lineRule="auto"/>
        <w:ind w:hanging="720"/>
        <w:jc w:val="both"/>
        <w:rPr>
          <w:rFonts w:ascii="Arial" w:hAnsi="Arial" w:cs="Arial"/>
          <w:b/>
          <w:sz w:val="21"/>
          <w:szCs w:val="21"/>
        </w:rPr>
      </w:pPr>
      <w:r w:rsidRPr="00B0655E">
        <w:rPr>
          <w:rFonts w:ascii="Arial" w:hAnsi="Arial" w:cs="Arial"/>
          <w:sz w:val="21"/>
          <w:szCs w:val="21"/>
        </w:rPr>
        <w:t xml:space="preserve">The amounts of insurance shown are minimum amounts required. GCS does not represent that coverage and the limits specified herein will necessarily be adequate to cover Architect/Engineer’s liability. </w:t>
      </w:r>
      <w:r w:rsidRPr="00B0655E">
        <w:rPr>
          <w:rFonts w:ascii="Arial" w:hAnsi="Arial" w:cs="Arial"/>
          <w:b/>
          <w:sz w:val="21"/>
          <w:szCs w:val="21"/>
        </w:rPr>
        <w:t>It is the professional’s responsibility to determine if added coverage is needed.</w:t>
      </w:r>
    </w:p>
    <w:p w:rsidR="00D3449F" w:rsidRPr="00B0655E" w:rsidRDefault="00D3449F" w:rsidP="00D3449F">
      <w:pPr>
        <w:spacing w:after="0" w:line="240" w:lineRule="auto"/>
        <w:jc w:val="both"/>
        <w:rPr>
          <w:rFonts w:ascii="Arial" w:hAnsi="Arial" w:cs="Arial"/>
          <w:b/>
          <w:sz w:val="21"/>
          <w:szCs w:val="21"/>
        </w:rPr>
      </w:pPr>
    </w:p>
    <w:p w:rsidR="00D3449F" w:rsidRPr="00B0655E" w:rsidRDefault="004F72C1" w:rsidP="00D3449F">
      <w:pPr>
        <w:spacing w:after="0" w:line="240" w:lineRule="auto"/>
        <w:jc w:val="both"/>
        <w:rPr>
          <w:rFonts w:ascii="Arial" w:hAnsi="Arial" w:cs="Arial"/>
          <w:b/>
        </w:rPr>
      </w:pPr>
      <w:r w:rsidRPr="00B0655E">
        <w:rPr>
          <w:rFonts w:ascii="Arial" w:hAnsi="Arial" w:cs="Arial"/>
          <w:b/>
        </w:rPr>
        <w:t>PART</w:t>
      </w:r>
      <w:r w:rsidR="00D3449F" w:rsidRPr="00B0655E">
        <w:rPr>
          <w:rFonts w:ascii="Arial" w:hAnsi="Arial" w:cs="Arial"/>
          <w:b/>
        </w:rPr>
        <w:t xml:space="preserve"> 2 – TYPES AND AMOUNTS OF INSURANCE</w:t>
      </w:r>
      <w:r w:rsidR="00E8473F" w:rsidRPr="00B0655E">
        <w:rPr>
          <w:rFonts w:ascii="Arial" w:hAnsi="Arial" w:cs="Arial"/>
          <w:b/>
        </w:rPr>
        <w:t xml:space="preserve"> (minimum)</w:t>
      </w:r>
    </w:p>
    <w:p w:rsidR="00D3449F" w:rsidRPr="00B0655E" w:rsidRDefault="00D3449F" w:rsidP="00D3449F">
      <w:pPr>
        <w:spacing w:after="0" w:line="240" w:lineRule="auto"/>
        <w:jc w:val="both"/>
        <w:rPr>
          <w:rFonts w:ascii="Arial" w:hAnsi="Arial" w:cs="Arial"/>
          <w:sz w:val="21"/>
          <w:szCs w:val="21"/>
        </w:rPr>
      </w:pPr>
    </w:p>
    <w:p w:rsidR="00D3449F" w:rsidRPr="00B0655E" w:rsidRDefault="00D3449F" w:rsidP="00D3449F">
      <w:pPr>
        <w:pStyle w:val="ListParagraph"/>
        <w:numPr>
          <w:ilvl w:val="0"/>
          <w:numId w:val="3"/>
        </w:numPr>
        <w:spacing w:after="0" w:line="240" w:lineRule="auto"/>
        <w:ind w:hanging="720"/>
        <w:jc w:val="both"/>
        <w:rPr>
          <w:rFonts w:ascii="Arial" w:hAnsi="Arial" w:cs="Arial"/>
          <w:sz w:val="21"/>
          <w:szCs w:val="21"/>
        </w:rPr>
      </w:pPr>
      <w:r w:rsidRPr="00B0655E">
        <w:rPr>
          <w:rFonts w:ascii="Arial" w:hAnsi="Arial" w:cs="Arial"/>
          <w:b/>
          <w:sz w:val="21"/>
          <w:szCs w:val="21"/>
        </w:rPr>
        <w:t>Comprehensive General Liability</w:t>
      </w:r>
      <w:r w:rsidRPr="00B0655E">
        <w:rPr>
          <w:rFonts w:ascii="Arial" w:hAnsi="Arial" w:cs="Arial"/>
          <w:sz w:val="21"/>
          <w:szCs w:val="21"/>
        </w:rPr>
        <w:t xml:space="preserve"> Insurance in the minimum amounts of:</w:t>
      </w:r>
    </w:p>
    <w:p w:rsidR="00D3449F" w:rsidRPr="00B0655E" w:rsidRDefault="00D3449F" w:rsidP="00D3449F">
      <w:pPr>
        <w:pStyle w:val="ListParagraph"/>
        <w:spacing w:after="0" w:line="240" w:lineRule="auto"/>
        <w:jc w:val="both"/>
        <w:rPr>
          <w:rFonts w:ascii="Arial" w:hAnsi="Arial" w:cs="Arial"/>
          <w:sz w:val="21"/>
          <w:szCs w:val="21"/>
        </w:rPr>
      </w:pPr>
    </w:p>
    <w:p w:rsidR="00D3449F" w:rsidRPr="00B0655E" w:rsidRDefault="00D3449F" w:rsidP="00D3449F">
      <w:pPr>
        <w:pStyle w:val="ListParagraph"/>
        <w:numPr>
          <w:ilvl w:val="1"/>
          <w:numId w:val="3"/>
        </w:numPr>
        <w:spacing w:after="0" w:line="240" w:lineRule="auto"/>
        <w:ind w:hanging="720"/>
        <w:jc w:val="both"/>
        <w:rPr>
          <w:rFonts w:ascii="Arial" w:hAnsi="Arial" w:cs="Arial"/>
          <w:sz w:val="21"/>
          <w:szCs w:val="21"/>
        </w:rPr>
      </w:pPr>
      <w:r w:rsidRPr="00B0655E">
        <w:rPr>
          <w:rFonts w:ascii="Arial" w:hAnsi="Arial" w:cs="Arial"/>
          <w:sz w:val="21"/>
          <w:szCs w:val="21"/>
        </w:rPr>
        <w:t>For major projects or continuing services where the aggregate Construction Price is greater than $10,000,000: A $2,000,000 per occurrence liability limit and a $5,000,000 aggregate limit with a deductible not to exceed $50,000 per occurrence is required.</w:t>
      </w:r>
    </w:p>
    <w:p w:rsidR="00D3449F" w:rsidRPr="00B0655E" w:rsidRDefault="00D3449F" w:rsidP="00D3449F">
      <w:pPr>
        <w:pStyle w:val="ListParagraph"/>
        <w:spacing w:after="0" w:line="240" w:lineRule="auto"/>
        <w:ind w:left="1440"/>
        <w:jc w:val="both"/>
        <w:rPr>
          <w:rFonts w:ascii="Arial" w:hAnsi="Arial" w:cs="Arial"/>
          <w:sz w:val="21"/>
          <w:szCs w:val="21"/>
        </w:rPr>
      </w:pPr>
    </w:p>
    <w:p w:rsidR="00D3449F" w:rsidRPr="00B0655E" w:rsidRDefault="00D3449F" w:rsidP="00D3449F">
      <w:pPr>
        <w:pStyle w:val="ListParagraph"/>
        <w:numPr>
          <w:ilvl w:val="1"/>
          <w:numId w:val="3"/>
        </w:numPr>
        <w:spacing w:after="0" w:line="240" w:lineRule="auto"/>
        <w:ind w:hanging="720"/>
        <w:jc w:val="both"/>
        <w:rPr>
          <w:rFonts w:ascii="Arial" w:hAnsi="Arial" w:cs="Arial"/>
          <w:sz w:val="21"/>
          <w:szCs w:val="21"/>
        </w:rPr>
      </w:pPr>
      <w:r w:rsidRPr="00B0655E">
        <w:rPr>
          <w:rFonts w:ascii="Arial" w:hAnsi="Arial" w:cs="Arial"/>
          <w:sz w:val="21"/>
          <w:szCs w:val="21"/>
        </w:rPr>
        <w:t xml:space="preserve">For projects or continuing services where the aggregate Construction Price is $10,000,000 or less: A $1,000,000 per occurrence liability limit and a $2,000,000 aggregate limit with a deductible not to exceed $50,000 per occurrence is required. </w:t>
      </w:r>
    </w:p>
    <w:p w:rsidR="00D3449F" w:rsidRPr="00B0655E" w:rsidRDefault="00D3449F" w:rsidP="00D3449F">
      <w:pPr>
        <w:pStyle w:val="ListParagraph"/>
        <w:spacing w:after="0" w:line="240" w:lineRule="auto"/>
        <w:ind w:left="1440"/>
        <w:jc w:val="both"/>
        <w:rPr>
          <w:rFonts w:ascii="Arial" w:hAnsi="Arial" w:cs="Arial"/>
          <w:sz w:val="21"/>
          <w:szCs w:val="21"/>
        </w:rPr>
      </w:pPr>
    </w:p>
    <w:p w:rsidR="00D3449F" w:rsidRPr="00B0655E" w:rsidRDefault="00D3449F" w:rsidP="00D3449F">
      <w:pPr>
        <w:pStyle w:val="ListParagraph"/>
        <w:numPr>
          <w:ilvl w:val="0"/>
          <w:numId w:val="3"/>
        </w:numPr>
        <w:spacing w:after="0" w:line="240" w:lineRule="auto"/>
        <w:ind w:hanging="720"/>
        <w:jc w:val="both"/>
        <w:rPr>
          <w:rFonts w:ascii="Arial" w:hAnsi="Arial" w:cs="Arial"/>
          <w:i/>
          <w:sz w:val="21"/>
          <w:szCs w:val="21"/>
        </w:rPr>
      </w:pPr>
      <w:r w:rsidRPr="00B0655E">
        <w:rPr>
          <w:rFonts w:ascii="Arial" w:hAnsi="Arial" w:cs="Arial"/>
          <w:b/>
          <w:sz w:val="21"/>
          <w:szCs w:val="21"/>
        </w:rPr>
        <w:t>Worker’s Compensation</w:t>
      </w:r>
      <w:r w:rsidRPr="00B0655E">
        <w:rPr>
          <w:rFonts w:ascii="Arial" w:hAnsi="Arial" w:cs="Arial"/>
          <w:sz w:val="21"/>
          <w:szCs w:val="21"/>
        </w:rPr>
        <w:t xml:space="preserve"> Insurance which complies with the requirements of </w:t>
      </w:r>
      <w:r w:rsidRPr="00B0655E">
        <w:rPr>
          <w:rFonts w:ascii="Arial" w:hAnsi="Arial" w:cs="Arial"/>
          <w:i/>
          <w:sz w:val="21"/>
          <w:szCs w:val="21"/>
        </w:rPr>
        <w:t>Chapter 440, Florida Statues.</w:t>
      </w:r>
    </w:p>
    <w:p w:rsidR="00D3449F" w:rsidRPr="00B0655E" w:rsidRDefault="00D3449F" w:rsidP="00D3449F">
      <w:pPr>
        <w:pStyle w:val="ListParagraph"/>
        <w:spacing w:after="0" w:line="240" w:lineRule="auto"/>
        <w:jc w:val="both"/>
        <w:rPr>
          <w:rFonts w:ascii="Arial" w:hAnsi="Arial" w:cs="Arial"/>
          <w:i/>
          <w:sz w:val="21"/>
          <w:szCs w:val="21"/>
        </w:rPr>
      </w:pPr>
    </w:p>
    <w:p w:rsidR="00D3449F" w:rsidRPr="00B0655E" w:rsidRDefault="00D3449F" w:rsidP="00D3449F">
      <w:pPr>
        <w:pStyle w:val="ListParagraph"/>
        <w:numPr>
          <w:ilvl w:val="0"/>
          <w:numId w:val="3"/>
        </w:numPr>
        <w:spacing w:after="0" w:line="240" w:lineRule="auto"/>
        <w:ind w:hanging="720"/>
        <w:jc w:val="both"/>
        <w:rPr>
          <w:rFonts w:ascii="Arial" w:hAnsi="Arial" w:cs="Arial"/>
          <w:sz w:val="21"/>
          <w:szCs w:val="21"/>
        </w:rPr>
      </w:pPr>
      <w:r w:rsidRPr="00B0655E">
        <w:rPr>
          <w:rFonts w:ascii="Arial" w:hAnsi="Arial" w:cs="Arial"/>
          <w:b/>
          <w:sz w:val="21"/>
          <w:szCs w:val="21"/>
        </w:rPr>
        <w:t xml:space="preserve">Automobile Liability </w:t>
      </w:r>
      <w:r w:rsidRPr="00B0655E">
        <w:rPr>
          <w:rFonts w:ascii="Arial" w:hAnsi="Arial" w:cs="Arial"/>
          <w:sz w:val="21"/>
          <w:szCs w:val="21"/>
        </w:rPr>
        <w:t>insurance with a minimum coverage of $1,000,000 per accident, bodily injury and property damage.</w:t>
      </w:r>
    </w:p>
    <w:p w:rsidR="00D3449F" w:rsidRPr="00B0655E" w:rsidRDefault="00D3449F" w:rsidP="00D3449F">
      <w:pPr>
        <w:pStyle w:val="ListParagraph"/>
        <w:rPr>
          <w:rFonts w:ascii="Arial" w:hAnsi="Arial" w:cs="Arial"/>
          <w:b/>
          <w:sz w:val="21"/>
          <w:szCs w:val="21"/>
        </w:rPr>
      </w:pPr>
    </w:p>
    <w:p w:rsidR="00D3449F" w:rsidRPr="00B0655E" w:rsidRDefault="00D3449F" w:rsidP="00D3449F">
      <w:pPr>
        <w:pStyle w:val="ListParagraph"/>
        <w:numPr>
          <w:ilvl w:val="0"/>
          <w:numId w:val="3"/>
        </w:numPr>
        <w:spacing w:after="0" w:line="240" w:lineRule="auto"/>
        <w:ind w:hanging="720"/>
        <w:jc w:val="both"/>
        <w:rPr>
          <w:rFonts w:ascii="Arial" w:hAnsi="Arial" w:cs="Arial"/>
          <w:sz w:val="21"/>
          <w:szCs w:val="21"/>
        </w:rPr>
      </w:pPr>
      <w:r w:rsidRPr="00B0655E">
        <w:rPr>
          <w:rFonts w:ascii="Arial" w:hAnsi="Arial" w:cs="Arial"/>
          <w:b/>
          <w:sz w:val="21"/>
          <w:szCs w:val="21"/>
        </w:rPr>
        <w:t>Professional Liability</w:t>
      </w:r>
      <w:r w:rsidRPr="00B0655E">
        <w:rPr>
          <w:rFonts w:ascii="Arial" w:hAnsi="Arial" w:cs="Arial"/>
          <w:sz w:val="21"/>
          <w:szCs w:val="21"/>
        </w:rPr>
        <w:t xml:space="preserve"> for protection from negligent acts, errors and omissions of the consultant in the execution of their services. </w:t>
      </w:r>
    </w:p>
    <w:p w:rsidR="00D3449F" w:rsidRPr="00B0655E" w:rsidRDefault="00D3449F" w:rsidP="00D3449F">
      <w:pPr>
        <w:spacing w:after="0" w:line="240" w:lineRule="auto"/>
        <w:jc w:val="both"/>
        <w:rPr>
          <w:rFonts w:ascii="Arial" w:hAnsi="Arial" w:cs="Arial"/>
          <w:sz w:val="21"/>
          <w:szCs w:val="21"/>
        </w:rPr>
      </w:pPr>
    </w:p>
    <w:p w:rsidR="00D3449F" w:rsidRPr="00B0655E" w:rsidRDefault="00D3449F" w:rsidP="00D3449F">
      <w:pPr>
        <w:pStyle w:val="ListParagraph"/>
        <w:numPr>
          <w:ilvl w:val="1"/>
          <w:numId w:val="3"/>
        </w:numPr>
        <w:spacing w:after="0" w:line="240" w:lineRule="auto"/>
        <w:ind w:hanging="720"/>
        <w:jc w:val="both"/>
        <w:rPr>
          <w:rFonts w:ascii="Arial" w:hAnsi="Arial" w:cs="Arial"/>
          <w:sz w:val="21"/>
          <w:szCs w:val="21"/>
        </w:rPr>
      </w:pPr>
      <w:r w:rsidRPr="00B0655E">
        <w:rPr>
          <w:rFonts w:ascii="Arial" w:hAnsi="Arial" w:cs="Arial"/>
          <w:sz w:val="21"/>
          <w:szCs w:val="21"/>
        </w:rPr>
        <w:t>For major projects or continuing services where the aggregate Construction Price is greater than $10,000,000: A $2,000,000 per occurrence liability limit and a $5,000,000 aggregate limit with a deductible not to exceed $50,000 per occurrence is required.</w:t>
      </w:r>
    </w:p>
    <w:p w:rsidR="00D3449F" w:rsidRPr="00B0655E" w:rsidRDefault="00D3449F" w:rsidP="00D3449F">
      <w:pPr>
        <w:pStyle w:val="ListParagraph"/>
        <w:spacing w:after="0" w:line="240" w:lineRule="auto"/>
        <w:ind w:left="1440"/>
        <w:jc w:val="both"/>
        <w:rPr>
          <w:rFonts w:ascii="Arial" w:hAnsi="Arial" w:cs="Arial"/>
          <w:sz w:val="21"/>
          <w:szCs w:val="21"/>
        </w:rPr>
      </w:pPr>
    </w:p>
    <w:p w:rsidR="00D3449F" w:rsidRPr="00B0655E" w:rsidRDefault="00D3449F" w:rsidP="00D3449F">
      <w:pPr>
        <w:pStyle w:val="ListParagraph"/>
        <w:numPr>
          <w:ilvl w:val="1"/>
          <w:numId w:val="3"/>
        </w:numPr>
        <w:spacing w:after="0" w:line="240" w:lineRule="auto"/>
        <w:ind w:hanging="720"/>
        <w:jc w:val="both"/>
        <w:rPr>
          <w:rFonts w:ascii="Arial" w:hAnsi="Arial" w:cs="Arial"/>
          <w:sz w:val="21"/>
          <w:szCs w:val="21"/>
        </w:rPr>
      </w:pPr>
      <w:r w:rsidRPr="00B0655E">
        <w:rPr>
          <w:rFonts w:ascii="Arial" w:hAnsi="Arial" w:cs="Arial"/>
          <w:sz w:val="21"/>
          <w:szCs w:val="21"/>
        </w:rPr>
        <w:t>For projects or continuing services where the aggregate Construction Price is $10,000,000 or less: A $1,000,000 per occurrence liability limit and a $2,000,000 aggregate limit with a deductible not to exceed $50,000 per occurrence is required.</w:t>
      </w:r>
    </w:p>
    <w:p w:rsidR="00D3449F" w:rsidRPr="00B0655E" w:rsidRDefault="00D3449F" w:rsidP="00D3449F">
      <w:pPr>
        <w:pStyle w:val="ListParagraph"/>
        <w:rPr>
          <w:rFonts w:ascii="Arial" w:hAnsi="Arial" w:cs="Arial"/>
          <w:sz w:val="21"/>
          <w:szCs w:val="21"/>
        </w:rPr>
      </w:pPr>
    </w:p>
    <w:p w:rsidR="009E7C31" w:rsidRPr="00B0655E" w:rsidRDefault="00D3449F" w:rsidP="00D3449F">
      <w:pPr>
        <w:pStyle w:val="ListParagraph"/>
        <w:numPr>
          <w:ilvl w:val="1"/>
          <w:numId w:val="3"/>
        </w:numPr>
        <w:spacing w:after="0" w:line="240" w:lineRule="auto"/>
        <w:ind w:hanging="720"/>
        <w:jc w:val="both"/>
        <w:rPr>
          <w:rFonts w:ascii="Arial" w:hAnsi="Arial" w:cs="Arial"/>
          <w:sz w:val="21"/>
          <w:szCs w:val="21"/>
        </w:rPr>
      </w:pPr>
      <w:r w:rsidRPr="00B0655E">
        <w:rPr>
          <w:rFonts w:ascii="Arial" w:hAnsi="Arial" w:cs="Arial"/>
          <w:sz w:val="21"/>
          <w:szCs w:val="21"/>
        </w:rPr>
        <w:t>Insurance shall continue for not less than one (1) year following the completion of the performance or the attempted performance of the provisions of this agreement.</w:t>
      </w:r>
    </w:p>
    <w:p w:rsidR="00D3449F" w:rsidRPr="00B0655E" w:rsidRDefault="004F72C1" w:rsidP="00D3449F">
      <w:pPr>
        <w:spacing w:after="0" w:line="240" w:lineRule="auto"/>
        <w:jc w:val="both"/>
        <w:rPr>
          <w:rFonts w:ascii="Arial" w:hAnsi="Arial" w:cs="Arial"/>
          <w:b/>
        </w:rPr>
      </w:pPr>
      <w:r w:rsidRPr="00B0655E">
        <w:rPr>
          <w:rFonts w:ascii="Arial" w:hAnsi="Arial" w:cs="Arial"/>
          <w:b/>
        </w:rPr>
        <w:lastRenderedPageBreak/>
        <w:t>PART</w:t>
      </w:r>
      <w:r w:rsidR="00D3449F" w:rsidRPr="00B0655E">
        <w:rPr>
          <w:rFonts w:ascii="Arial" w:hAnsi="Arial" w:cs="Arial"/>
          <w:b/>
        </w:rPr>
        <w:t xml:space="preserve"> 3 – GENERAL REQUIREMENTS</w:t>
      </w:r>
    </w:p>
    <w:p w:rsidR="00D3449F" w:rsidRPr="00B0655E" w:rsidRDefault="00D3449F" w:rsidP="00D3449F">
      <w:pPr>
        <w:spacing w:after="0" w:line="240" w:lineRule="auto"/>
        <w:jc w:val="both"/>
        <w:rPr>
          <w:rFonts w:ascii="Arial" w:hAnsi="Arial" w:cs="Arial"/>
          <w:b/>
          <w:sz w:val="21"/>
          <w:szCs w:val="21"/>
        </w:rPr>
      </w:pPr>
    </w:p>
    <w:p w:rsidR="00D3449F" w:rsidRPr="00B0655E" w:rsidRDefault="00D3449F" w:rsidP="00D3449F">
      <w:pPr>
        <w:pStyle w:val="ListParagraph"/>
        <w:numPr>
          <w:ilvl w:val="0"/>
          <w:numId w:val="4"/>
        </w:numPr>
        <w:spacing w:after="0" w:line="240" w:lineRule="auto"/>
        <w:ind w:hanging="720"/>
        <w:jc w:val="both"/>
        <w:rPr>
          <w:rFonts w:ascii="Arial" w:hAnsi="Arial" w:cs="Arial"/>
          <w:sz w:val="21"/>
          <w:szCs w:val="21"/>
        </w:rPr>
      </w:pPr>
      <w:r w:rsidRPr="00B0655E">
        <w:rPr>
          <w:rFonts w:ascii="Arial" w:hAnsi="Arial" w:cs="Arial"/>
          <w:sz w:val="21"/>
          <w:szCs w:val="21"/>
        </w:rPr>
        <w:t xml:space="preserve">All insurance policies shall be issued and countersigned by duly authorized representatives of such companies and except for Professional Liability, shall be written on ISO standard forms or their equivalent.  Additionally, all insurance under this Section must be issued by an insurance company authorized to do business in the State of Florida and have an AM Best rating of A-, class IV or higher. </w:t>
      </w:r>
    </w:p>
    <w:p w:rsidR="00D3449F" w:rsidRPr="00B0655E" w:rsidRDefault="00D3449F" w:rsidP="00D3449F">
      <w:pPr>
        <w:pStyle w:val="ListParagraph"/>
        <w:spacing w:after="0" w:line="240" w:lineRule="auto"/>
        <w:jc w:val="both"/>
        <w:rPr>
          <w:rFonts w:ascii="Arial" w:hAnsi="Arial" w:cs="Arial"/>
          <w:sz w:val="21"/>
          <w:szCs w:val="21"/>
        </w:rPr>
      </w:pPr>
    </w:p>
    <w:p w:rsidR="00D3449F" w:rsidRPr="00B0655E" w:rsidRDefault="00D3449F" w:rsidP="00D3449F">
      <w:pPr>
        <w:pStyle w:val="ListParagraph"/>
        <w:numPr>
          <w:ilvl w:val="0"/>
          <w:numId w:val="4"/>
        </w:numPr>
        <w:spacing w:after="0" w:line="240" w:lineRule="auto"/>
        <w:ind w:hanging="720"/>
        <w:jc w:val="both"/>
        <w:rPr>
          <w:rFonts w:ascii="Arial" w:hAnsi="Arial" w:cs="Arial"/>
          <w:sz w:val="21"/>
          <w:szCs w:val="21"/>
        </w:rPr>
      </w:pPr>
      <w:r w:rsidRPr="00B0655E">
        <w:rPr>
          <w:rFonts w:ascii="Arial" w:hAnsi="Arial" w:cs="Arial"/>
          <w:sz w:val="21"/>
          <w:szCs w:val="21"/>
        </w:rPr>
        <w:t xml:space="preserve">All insurance policies shall carry an endorsement which names The Gadsden County School Board, School Board’s representatives and their respective trustees, directors, officers, employees and agents, as additional insureds. </w:t>
      </w:r>
    </w:p>
    <w:p w:rsidR="00D3449F" w:rsidRPr="00B0655E" w:rsidRDefault="00D3449F" w:rsidP="00D3449F">
      <w:pPr>
        <w:pStyle w:val="ListParagraph"/>
        <w:rPr>
          <w:rFonts w:ascii="Arial" w:hAnsi="Arial" w:cs="Arial"/>
          <w:sz w:val="21"/>
          <w:szCs w:val="21"/>
        </w:rPr>
      </w:pPr>
    </w:p>
    <w:p w:rsidR="00CB7A4C" w:rsidRPr="00B0655E" w:rsidRDefault="00CB7A4C" w:rsidP="00D3449F">
      <w:pPr>
        <w:pStyle w:val="ListParagraph"/>
        <w:numPr>
          <w:ilvl w:val="0"/>
          <w:numId w:val="4"/>
        </w:numPr>
        <w:spacing w:after="0" w:line="240" w:lineRule="auto"/>
        <w:ind w:hanging="720"/>
        <w:jc w:val="both"/>
        <w:rPr>
          <w:rFonts w:ascii="Arial" w:hAnsi="Arial" w:cs="Arial"/>
          <w:sz w:val="21"/>
          <w:szCs w:val="21"/>
        </w:rPr>
      </w:pPr>
      <w:r w:rsidRPr="00B0655E">
        <w:rPr>
          <w:rFonts w:ascii="Arial" w:hAnsi="Arial" w:cs="Arial"/>
          <w:sz w:val="21"/>
          <w:szCs w:val="21"/>
        </w:rPr>
        <w:t>Copies of all insurance shall be provided to the Owner prior to the start of any work.</w:t>
      </w:r>
    </w:p>
    <w:p w:rsidR="00CB7A4C" w:rsidRPr="00B0655E" w:rsidRDefault="00CB7A4C" w:rsidP="00CB7A4C">
      <w:pPr>
        <w:pStyle w:val="ListParagraph"/>
        <w:rPr>
          <w:rFonts w:ascii="Arial" w:hAnsi="Arial" w:cs="Arial"/>
          <w:sz w:val="21"/>
          <w:szCs w:val="21"/>
        </w:rPr>
      </w:pPr>
    </w:p>
    <w:p w:rsidR="00D3449F" w:rsidRPr="00B0655E" w:rsidRDefault="00D3449F" w:rsidP="00D3449F">
      <w:pPr>
        <w:pStyle w:val="ListParagraph"/>
        <w:numPr>
          <w:ilvl w:val="0"/>
          <w:numId w:val="4"/>
        </w:numPr>
        <w:spacing w:after="0" w:line="240" w:lineRule="auto"/>
        <w:ind w:hanging="720"/>
        <w:jc w:val="both"/>
        <w:rPr>
          <w:rFonts w:ascii="Arial" w:hAnsi="Arial" w:cs="Arial"/>
          <w:sz w:val="21"/>
          <w:szCs w:val="21"/>
        </w:rPr>
      </w:pPr>
      <w:r w:rsidRPr="00B0655E">
        <w:rPr>
          <w:rFonts w:ascii="Arial" w:hAnsi="Arial" w:cs="Arial"/>
          <w:sz w:val="21"/>
          <w:szCs w:val="21"/>
        </w:rPr>
        <w:t>The Architect/Engineer’s policy shall be primary and any insurance carried by Owner (GCS) shall be noncontributing with respect thereto.</w:t>
      </w:r>
    </w:p>
    <w:p w:rsidR="00D3449F" w:rsidRPr="00B0655E" w:rsidRDefault="00D3449F" w:rsidP="00D3449F">
      <w:pPr>
        <w:pStyle w:val="ListParagraph"/>
        <w:rPr>
          <w:rFonts w:ascii="Arial" w:hAnsi="Arial" w:cs="Arial"/>
          <w:sz w:val="21"/>
          <w:szCs w:val="21"/>
        </w:rPr>
      </w:pPr>
    </w:p>
    <w:p w:rsidR="00D3449F" w:rsidRPr="00B0655E" w:rsidRDefault="00D3449F" w:rsidP="00D3449F">
      <w:pPr>
        <w:pStyle w:val="ListParagraph"/>
        <w:numPr>
          <w:ilvl w:val="0"/>
          <w:numId w:val="4"/>
        </w:numPr>
        <w:spacing w:after="0" w:line="240" w:lineRule="auto"/>
        <w:ind w:hanging="720"/>
        <w:jc w:val="both"/>
        <w:rPr>
          <w:rFonts w:ascii="Arial" w:hAnsi="Arial" w:cs="Arial"/>
          <w:sz w:val="21"/>
          <w:szCs w:val="21"/>
        </w:rPr>
      </w:pPr>
      <w:r w:rsidRPr="00B0655E">
        <w:rPr>
          <w:rFonts w:ascii="Arial" w:hAnsi="Arial" w:cs="Arial"/>
          <w:sz w:val="21"/>
          <w:szCs w:val="21"/>
        </w:rPr>
        <w:t xml:space="preserve">The insurance certificate(s) shall provide that any such insurance policy shall not be canceled, terminated, non-renewed, or materially changed without thirty (30) days’ prior written notice to the Owner.  In addition, the insurance company and/or the Architect/Engineer must provide thirty (30) days prior written notice to the Owner of any reduction in any of the policy limits.  </w:t>
      </w:r>
    </w:p>
    <w:p w:rsidR="00D3449F" w:rsidRPr="00B0655E" w:rsidRDefault="00D3449F" w:rsidP="00D3449F">
      <w:pPr>
        <w:pStyle w:val="ListParagraph"/>
        <w:rPr>
          <w:rFonts w:ascii="Arial" w:hAnsi="Arial" w:cs="Arial"/>
          <w:sz w:val="21"/>
          <w:szCs w:val="21"/>
        </w:rPr>
      </w:pPr>
    </w:p>
    <w:p w:rsidR="00D3449F" w:rsidRPr="00B0655E" w:rsidRDefault="00D3449F" w:rsidP="00D3449F">
      <w:pPr>
        <w:pStyle w:val="ListParagraph"/>
        <w:numPr>
          <w:ilvl w:val="0"/>
          <w:numId w:val="4"/>
        </w:numPr>
        <w:spacing w:after="0" w:line="240" w:lineRule="auto"/>
        <w:ind w:hanging="720"/>
        <w:jc w:val="both"/>
        <w:rPr>
          <w:rFonts w:ascii="Arial" w:hAnsi="Arial" w:cs="Arial"/>
          <w:sz w:val="21"/>
          <w:szCs w:val="21"/>
        </w:rPr>
      </w:pPr>
      <w:r w:rsidRPr="00B0655E">
        <w:rPr>
          <w:rFonts w:ascii="Arial" w:hAnsi="Arial" w:cs="Arial"/>
          <w:sz w:val="21"/>
          <w:szCs w:val="21"/>
        </w:rPr>
        <w:t>In the event the Architect/Engineer or its consultants fail to maintain the insurance required hereby, the Owner may, at its discretion, pay any premium necessary to maintain the coverage required hereby and deduct such premium costs from the Architect/Engineer’s fees under this Agreement.</w:t>
      </w:r>
    </w:p>
    <w:p w:rsidR="00D3449F" w:rsidRPr="00B0655E" w:rsidRDefault="00D3449F" w:rsidP="00D3449F">
      <w:pPr>
        <w:pStyle w:val="ListParagraph"/>
        <w:rPr>
          <w:rFonts w:ascii="Arial" w:hAnsi="Arial" w:cs="Arial"/>
          <w:sz w:val="21"/>
          <w:szCs w:val="21"/>
        </w:rPr>
      </w:pPr>
    </w:p>
    <w:p w:rsidR="00D3449F" w:rsidRPr="00B0655E" w:rsidRDefault="00D3449F" w:rsidP="00D3449F">
      <w:pPr>
        <w:pStyle w:val="ListParagraph"/>
        <w:numPr>
          <w:ilvl w:val="0"/>
          <w:numId w:val="4"/>
        </w:numPr>
        <w:spacing w:after="0" w:line="240" w:lineRule="auto"/>
        <w:ind w:hanging="720"/>
        <w:jc w:val="both"/>
        <w:rPr>
          <w:rFonts w:ascii="Arial" w:hAnsi="Arial" w:cs="Arial"/>
          <w:sz w:val="21"/>
          <w:szCs w:val="21"/>
        </w:rPr>
      </w:pPr>
      <w:r w:rsidRPr="00B0655E">
        <w:rPr>
          <w:rFonts w:ascii="Arial" w:hAnsi="Arial" w:cs="Arial"/>
          <w:sz w:val="21"/>
          <w:szCs w:val="21"/>
        </w:rPr>
        <w:t xml:space="preserve">The Architect/Engineer shall require all subcontractors, consultants, and agents (“consultants” for purposes of this provision) providing services on the Project to carry any and all insurance coverage that adequately covers each consultant’s exposure based on the type of services they are providing in connection with the Project.  </w:t>
      </w:r>
    </w:p>
    <w:p w:rsidR="00D3449F" w:rsidRPr="00B0655E" w:rsidRDefault="00D3449F" w:rsidP="00D3449F">
      <w:pPr>
        <w:pStyle w:val="ListParagraph"/>
        <w:spacing w:after="0" w:line="240" w:lineRule="auto"/>
        <w:jc w:val="both"/>
        <w:rPr>
          <w:rFonts w:ascii="Arial" w:hAnsi="Arial" w:cs="Arial"/>
          <w:sz w:val="21"/>
          <w:szCs w:val="21"/>
        </w:rPr>
      </w:pPr>
    </w:p>
    <w:p w:rsidR="00D3449F" w:rsidRPr="00B0655E" w:rsidRDefault="00D3449F" w:rsidP="00D3449F">
      <w:pPr>
        <w:pStyle w:val="ListParagraph"/>
        <w:numPr>
          <w:ilvl w:val="0"/>
          <w:numId w:val="4"/>
        </w:numPr>
        <w:spacing w:after="0" w:line="240" w:lineRule="auto"/>
        <w:ind w:hanging="720"/>
        <w:jc w:val="both"/>
        <w:rPr>
          <w:rFonts w:ascii="Arial" w:hAnsi="Arial" w:cs="Arial"/>
          <w:sz w:val="21"/>
          <w:szCs w:val="21"/>
        </w:rPr>
      </w:pPr>
      <w:r w:rsidRPr="00B0655E">
        <w:rPr>
          <w:rFonts w:ascii="Arial" w:hAnsi="Arial" w:cs="Arial"/>
          <w:sz w:val="21"/>
          <w:szCs w:val="21"/>
        </w:rPr>
        <w:t>The Architect/Engineer shall release and discharge the Owner and the Owner’s Related Parties of and from all liability to the Architect/Engineer, and to anyone claiming by, through or under the Architect/Engineer, by subrogation or otherwise, on account of any loss or damage to tools, machinery, and equipment or other property, however caused.</w:t>
      </w:r>
    </w:p>
    <w:p w:rsidR="00D3449F" w:rsidRPr="00B0655E" w:rsidRDefault="00D3449F" w:rsidP="00D3449F">
      <w:pPr>
        <w:spacing w:after="0" w:line="240" w:lineRule="auto"/>
        <w:jc w:val="both"/>
        <w:rPr>
          <w:rFonts w:ascii="Arial" w:hAnsi="Arial" w:cs="Arial"/>
          <w:sz w:val="21"/>
          <w:szCs w:val="21"/>
        </w:rPr>
      </w:pPr>
    </w:p>
    <w:p w:rsidR="00D3449F" w:rsidRPr="00B0655E" w:rsidRDefault="00D3449F" w:rsidP="00D3449F">
      <w:pPr>
        <w:pStyle w:val="ListParagraph"/>
        <w:numPr>
          <w:ilvl w:val="0"/>
          <w:numId w:val="4"/>
        </w:numPr>
        <w:spacing w:after="0" w:line="240" w:lineRule="auto"/>
        <w:ind w:hanging="720"/>
        <w:jc w:val="both"/>
        <w:rPr>
          <w:rFonts w:ascii="Arial" w:hAnsi="Arial" w:cs="Arial"/>
          <w:sz w:val="21"/>
          <w:szCs w:val="21"/>
        </w:rPr>
      </w:pPr>
      <w:r w:rsidRPr="00B0655E">
        <w:rPr>
          <w:rFonts w:ascii="Arial" w:hAnsi="Arial" w:cs="Arial"/>
          <w:sz w:val="21"/>
          <w:szCs w:val="21"/>
        </w:rPr>
        <w:t>Architect/Engineer must provide the Owner with a Certificate(s) of Insurance(s) reflecting all of the insurance coverages satisfying the above requirements not later than ten (10) calendar days after the Effective Date of an Agreement and prior to commencement of any operations or activities hereunder.  Additionally, the insurance required under this Agreement shall be carried by the Architect/Engineer at least until the Project reaches Final Completion and is accepted by the Owner unless specified differently elsewhere in this document or the contract.</w:t>
      </w:r>
    </w:p>
    <w:p w:rsidR="00D3449F" w:rsidRPr="00B0655E" w:rsidRDefault="00D3449F" w:rsidP="00D3449F">
      <w:pPr>
        <w:spacing w:after="0" w:line="240" w:lineRule="auto"/>
        <w:jc w:val="both"/>
        <w:rPr>
          <w:rFonts w:ascii="Arial" w:hAnsi="Arial" w:cs="Arial"/>
          <w:sz w:val="21"/>
          <w:szCs w:val="21"/>
        </w:rPr>
      </w:pPr>
    </w:p>
    <w:p w:rsidR="00A2499A" w:rsidRPr="00B0655E" w:rsidRDefault="00D3449F" w:rsidP="008804E1">
      <w:pPr>
        <w:pStyle w:val="ListParagraph"/>
        <w:numPr>
          <w:ilvl w:val="0"/>
          <w:numId w:val="4"/>
        </w:numPr>
        <w:spacing w:after="0" w:line="240" w:lineRule="auto"/>
        <w:ind w:hanging="720"/>
        <w:jc w:val="both"/>
        <w:rPr>
          <w:rFonts w:ascii="Arial" w:hAnsi="Arial" w:cs="Arial"/>
          <w:sz w:val="21"/>
          <w:szCs w:val="21"/>
        </w:rPr>
      </w:pPr>
      <w:r w:rsidRPr="00B0655E">
        <w:rPr>
          <w:rFonts w:ascii="Arial" w:hAnsi="Arial" w:cs="Arial"/>
          <w:sz w:val="21"/>
          <w:szCs w:val="21"/>
        </w:rPr>
        <w:t>The absence of a demand for any type of insurance certificates or policy or insurance condition, or for higher coverage limits shall not be construed as a waiver of the Architect/Engineer’s obligations to carry and maintain the appropriate types of insurances at limits that are appropriate to the liability exposure associated with this Agreement.</w:t>
      </w:r>
    </w:p>
    <w:p w:rsidR="00BC2CED" w:rsidRPr="00B0655E" w:rsidRDefault="00BC2CED" w:rsidP="00BC2CED">
      <w:pPr>
        <w:pStyle w:val="ListParagraph"/>
        <w:rPr>
          <w:rFonts w:ascii="Arial" w:hAnsi="Arial" w:cs="Arial"/>
          <w:sz w:val="21"/>
          <w:szCs w:val="21"/>
        </w:rPr>
      </w:pPr>
    </w:p>
    <w:p w:rsidR="00BC2CED" w:rsidRPr="00B0655E" w:rsidRDefault="00BC2CED" w:rsidP="00BC2CED">
      <w:pPr>
        <w:spacing w:after="0" w:line="240" w:lineRule="auto"/>
        <w:jc w:val="both"/>
        <w:rPr>
          <w:rFonts w:ascii="Arial" w:hAnsi="Arial" w:cs="Arial"/>
          <w:sz w:val="21"/>
          <w:szCs w:val="21"/>
        </w:rPr>
      </w:pPr>
    </w:p>
    <w:p w:rsidR="00BC2CED" w:rsidRPr="00B0655E" w:rsidRDefault="00BC2CED" w:rsidP="00BC2CED">
      <w:pPr>
        <w:spacing w:after="0" w:line="240" w:lineRule="auto"/>
        <w:jc w:val="both"/>
        <w:rPr>
          <w:rFonts w:ascii="Arial" w:hAnsi="Arial" w:cs="Arial"/>
          <w:sz w:val="21"/>
          <w:szCs w:val="21"/>
        </w:rPr>
      </w:pPr>
    </w:p>
    <w:p w:rsidR="00BC2CED" w:rsidRPr="00B0655E" w:rsidRDefault="00BC2CED" w:rsidP="00BC2CED">
      <w:pPr>
        <w:spacing w:after="0" w:line="240" w:lineRule="auto"/>
        <w:jc w:val="both"/>
        <w:rPr>
          <w:rFonts w:ascii="Arial" w:hAnsi="Arial" w:cs="Arial"/>
          <w:sz w:val="21"/>
          <w:szCs w:val="21"/>
        </w:rPr>
      </w:pPr>
    </w:p>
    <w:sectPr w:rsidR="00BC2CED" w:rsidRPr="00B0655E" w:rsidSect="004F72C1">
      <w:footerReference w:type="default" r:id="rId8"/>
      <w:pgSz w:w="12240" w:h="15840"/>
      <w:pgMar w:top="1080" w:right="1440" w:bottom="108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DC" w:rsidRDefault="00BC16DC" w:rsidP="00F301DD">
      <w:pPr>
        <w:spacing w:after="0" w:line="240" w:lineRule="auto"/>
      </w:pPr>
      <w:r>
        <w:separator/>
      </w:r>
    </w:p>
  </w:endnote>
  <w:endnote w:type="continuationSeparator" w:id="0">
    <w:p w:rsidR="00BC16DC" w:rsidRDefault="00BC16DC" w:rsidP="00F3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DD" w:rsidRDefault="00F301DD" w:rsidP="00F301DD">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464E8">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464E8">
      <w:rPr>
        <w:noProof/>
        <w:color w:val="5B9BD5" w:themeColor="accent1"/>
      </w:rPr>
      <w:t>2</w:t>
    </w:r>
    <w:r>
      <w:rPr>
        <w:color w:val="5B9BD5" w:themeColor="accent1"/>
      </w:rPr>
      <w:fldChar w:fldCharType="end"/>
    </w:r>
  </w:p>
  <w:p w:rsidR="00F301DD" w:rsidRDefault="00F30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DC" w:rsidRDefault="00BC16DC" w:rsidP="00F301DD">
      <w:pPr>
        <w:spacing w:after="0" w:line="240" w:lineRule="auto"/>
      </w:pPr>
      <w:r>
        <w:separator/>
      </w:r>
    </w:p>
  </w:footnote>
  <w:footnote w:type="continuationSeparator" w:id="0">
    <w:p w:rsidR="00BC16DC" w:rsidRDefault="00BC16DC" w:rsidP="00F30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131ED"/>
    <w:multiLevelType w:val="hybridMultilevel"/>
    <w:tmpl w:val="0C683230"/>
    <w:lvl w:ilvl="0" w:tplc="A2646456">
      <w:start w:val="1"/>
      <w:numFmt w:val="decimal"/>
      <w:lvlText w:val="2.%1"/>
      <w:lvlJc w:val="left"/>
      <w:pPr>
        <w:ind w:left="720" w:hanging="360"/>
      </w:pPr>
      <w:rPr>
        <w:i w:val="0"/>
      </w:rPr>
    </w:lvl>
    <w:lvl w:ilvl="1" w:tplc="43906E36">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550CA"/>
    <w:multiLevelType w:val="hybridMultilevel"/>
    <w:tmpl w:val="45427EA0"/>
    <w:lvl w:ilvl="0" w:tplc="2A046A12">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14218"/>
    <w:multiLevelType w:val="multilevel"/>
    <w:tmpl w:val="A6BE32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CF0F25"/>
    <w:multiLevelType w:val="hybridMultilevel"/>
    <w:tmpl w:val="E2961338"/>
    <w:lvl w:ilvl="0" w:tplc="822E8F20">
      <w:start w:val="1"/>
      <w:numFmt w:val="decimal"/>
      <w:lvlText w:val="1.%1"/>
      <w:lvlJc w:val="left"/>
      <w:pPr>
        <w:ind w:left="720" w:hanging="360"/>
      </w:pPr>
      <w:rPr>
        <w:b w:val="0"/>
      </w:rPr>
    </w:lvl>
    <w:lvl w:ilvl="1" w:tplc="822E8F20">
      <w:start w:val="1"/>
      <w:numFmt w:val="decimal"/>
      <w:lvlText w:val="1.%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NjzsrwDQ0Pgw2K4/Zn+wR8UCllJVd01Y4GVvGysRfiK2Ywh6Gga++lD/kDWHGHmbM6DckBNDpFvk19+YViJ6Q==" w:salt="5yVuXeAmQxNqiqY1YbwC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25"/>
    <w:rsid w:val="00033179"/>
    <w:rsid w:val="0003611F"/>
    <w:rsid w:val="00036390"/>
    <w:rsid w:val="000C127E"/>
    <w:rsid w:val="000E16FA"/>
    <w:rsid w:val="000E416D"/>
    <w:rsid w:val="00107856"/>
    <w:rsid w:val="001666A8"/>
    <w:rsid w:val="001755B2"/>
    <w:rsid w:val="002011D5"/>
    <w:rsid w:val="00245C4E"/>
    <w:rsid w:val="0031312A"/>
    <w:rsid w:val="00331E17"/>
    <w:rsid w:val="00335F96"/>
    <w:rsid w:val="00342B98"/>
    <w:rsid w:val="00443F9A"/>
    <w:rsid w:val="004D4187"/>
    <w:rsid w:val="004F72C1"/>
    <w:rsid w:val="00507482"/>
    <w:rsid w:val="0052082B"/>
    <w:rsid w:val="005728B5"/>
    <w:rsid w:val="005D251B"/>
    <w:rsid w:val="005F2560"/>
    <w:rsid w:val="00653CAB"/>
    <w:rsid w:val="00675916"/>
    <w:rsid w:val="006E039C"/>
    <w:rsid w:val="006E4730"/>
    <w:rsid w:val="0073686A"/>
    <w:rsid w:val="00772F83"/>
    <w:rsid w:val="007D2448"/>
    <w:rsid w:val="0082087B"/>
    <w:rsid w:val="008723BD"/>
    <w:rsid w:val="008804E1"/>
    <w:rsid w:val="008B45C0"/>
    <w:rsid w:val="00942225"/>
    <w:rsid w:val="009464E8"/>
    <w:rsid w:val="00984261"/>
    <w:rsid w:val="009E7C31"/>
    <w:rsid w:val="00A00E1B"/>
    <w:rsid w:val="00A2499A"/>
    <w:rsid w:val="00A461A2"/>
    <w:rsid w:val="00A87409"/>
    <w:rsid w:val="00AD5902"/>
    <w:rsid w:val="00B0655E"/>
    <w:rsid w:val="00B06772"/>
    <w:rsid w:val="00B111C7"/>
    <w:rsid w:val="00BC16DC"/>
    <w:rsid w:val="00BC2CED"/>
    <w:rsid w:val="00BC3C8C"/>
    <w:rsid w:val="00C10A15"/>
    <w:rsid w:val="00C54A98"/>
    <w:rsid w:val="00CB477D"/>
    <w:rsid w:val="00CB7A4C"/>
    <w:rsid w:val="00D13283"/>
    <w:rsid w:val="00D3148E"/>
    <w:rsid w:val="00D3449F"/>
    <w:rsid w:val="00D47CAC"/>
    <w:rsid w:val="00D5110B"/>
    <w:rsid w:val="00D54290"/>
    <w:rsid w:val="00D66C28"/>
    <w:rsid w:val="00D7266A"/>
    <w:rsid w:val="00DE1193"/>
    <w:rsid w:val="00E208D7"/>
    <w:rsid w:val="00E2710E"/>
    <w:rsid w:val="00E67F1D"/>
    <w:rsid w:val="00E8473F"/>
    <w:rsid w:val="00EC1CB4"/>
    <w:rsid w:val="00EE61D0"/>
    <w:rsid w:val="00F301DD"/>
    <w:rsid w:val="00F97DB1"/>
    <w:rsid w:val="00FA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DF5475-1426-4A81-AB64-618E455B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4E1"/>
    <w:pPr>
      <w:ind w:left="720"/>
      <w:contextualSpacing/>
    </w:pPr>
  </w:style>
  <w:style w:type="paragraph" w:styleId="Header">
    <w:name w:val="header"/>
    <w:basedOn w:val="Normal"/>
    <w:link w:val="HeaderChar"/>
    <w:uiPriority w:val="99"/>
    <w:unhideWhenUsed/>
    <w:rsid w:val="00F3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1DD"/>
  </w:style>
  <w:style w:type="paragraph" w:styleId="Footer">
    <w:name w:val="footer"/>
    <w:basedOn w:val="Normal"/>
    <w:link w:val="FooterChar"/>
    <w:uiPriority w:val="99"/>
    <w:unhideWhenUsed/>
    <w:rsid w:val="00F3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850</Words>
  <Characters>4851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5</cp:revision>
  <dcterms:created xsi:type="dcterms:W3CDTF">2016-06-16T19:49:00Z</dcterms:created>
  <dcterms:modified xsi:type="dcterms:W3CDTF">2017-02-08T13:59:00Z</dcterms:modified>
</cp:coreProperties>
</file>